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/>
        <w:textAlignment w:val="auto"/>
        <w:outlineLvl w:val="9"/>
        <w:rPr>
          <w:rFonts w:hint="default" w:ascii="宋体" w:hAnsi="宋体" w:eastAsia="方正黑体简体" w:cs="方正黑体简体"/>
          <w:sz w:val="28"/>
          <w:szCs w:val="28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方正黑体简体" w:cs="方正黑体简体"/>
          <w:sz w:val="28"/>
          <w:szCs w:val="28"/>
          <w:vertAlign w:val="baseline"/>
          <w:lang w:val="en-US"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宋体" w:hAnsi="宋体" w:eastAsia="方正黑体简体" w:cs="方正黑体简体"/>
          <w:sz w:val="28"/>
          <w:szCs w:val="28"/>
          <w:vertAlign w:val="baseline"/>
          <w:lang w:val="en-US" w:eastAsia="zh-CN"/>
        </w:rPr>
        <w:instrText xml:space="preserve">ADDIN CNKISM.UserStyle</w:instrText>
      </w:r>
      <w:r>
        <w:rPr>
          <w:rFonts w:hint="eastAsia" w:ascii="宋体" w:hAnsi="宋体" w:eastAsia="方正黑体简体" w:cs="方正黑体简体"/>
          <w:sz w:val="28"/>
          <w:szCs w:val="28"/>
          <w:vertAlign w:val="baseline"/>
          <w:lang w:val="en-US" w:eastAsia="zh-CN"/>
        </w:rPr>
        <w:fldChar w:fldCharType="separate"/>
      </w:r>
      <w:r>
        <w:rPr>
          <w:rFonts w:hint="eastAsia" w:ascii="宋体" w:hAnsi="宋体" w:eastAsia="方正黑体简体" w:cs="方正黑体简体"/>
          <w:sz w:val="28"/>
          <w:szCs w:val="28"/>
          <w:vertAlign w:val="baseline"/>
          <w:lang w:val="en-US" w:eastAsia="zh-CN"/>
        </w:rPr>
        <w:fldChar w:fldCharType="end"/>
      </w:r>
      <w:r>
        <w:rPr>
          <w:rFonts w:hint="eastAsia" w:ascii="宋体" w:hAnsi="宋体" w:eastAsia="方正黑体简体" w:cs="方正黑体简体"/>
          <w:sz w:val="28"/>
          <w:szCs w:val="28"/>
          <w:vertAlign w:val="baseline"/>
          <w:lang w:val="en-US"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28"/>
          <w:szCs w:val="28"/>
          <w:vertAlign w:val="baseli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eastAsia" w:ascii="宋体" w:hAnsi="宋体" w:eastAsia="方正小标宋简体"/>
          <w:sz w:val="44"/>
          <w:lang w:eastAsia="zh-CN"/>
        </w:rPr>
      </w:pPr>
      <w:r>
        <w:rPr>
          <w:rFonts w:hint="eastAsia" w:ascii="宋体" w:hAnsi="宋体" w:eastAsia="方正小标宋简体"/>
          <w:sz w:val="44"/>
          <w:lang w:eastAsia="zh-CN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1.附件1、附件2请填写</w:t>
      </w:r>
      <w:r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  <w:t>电子版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（设下拉选项）发送至hanrui@ggj.gov.cn，均</w:t>
      </w:r>
      <w:r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  <w:t>可另附页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；纸质版打印并盖章后，于</w:t>
      </w:r>
      <w:r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  <w:t>5月17日前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交换至中央国家机关住房制度改革办公室。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2.附件1填写说明：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（1）请以</w:t>
      </w:r>
      <w:r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  <w:t>住宅小区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为单位填写，多栋楼属同一小区的，</w:t>
      </w:r>
      <w:r>
        <w:rPr>
          <w:rFonts w:hint="eastAsia" w:ascii="宋体" w:hAnsi="宋体" w:eastAsia="方正仿宋简体" w:cs="方正仿宋简体"/>
          <w:b/>
          <w:bCs/>
          <w:sz w:val="32"/>
          <w:szCs w:val="32"/>
          <w:lang w:val="en-US" w:eastAsia="zh-CN"/>
        </w:rPr>
        <w:t>务必合并填写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；零散住房小区（10套以下且分散分布在多栋单元楼）无需填写。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（2）“小区房屋性质”分为房改房和职工住宅2类，请据实选择或选择“两者兼有”。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（3）物业服务现状中，“自管”指本单位物业处或自有物业公司管理，“托管”指聘请外部物业公司管理，“失管”指没有物业服务单位提供相关服务。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jc w:val="both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（4）“物业服务标准”下拉选项包括“北京市1-5级物业服务标准”，请据实选择；没有明确执行北京市标准的，请按“参照北京市1-5级物业服务标准”对应选择；“物业服务标准公开方式”包括活动宣讲、楼门通知、橱窗展板和手机短信等方式，如有其它方式，请在备注列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jc w:val="both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（5）“物业满意度调查”和“服务质量监督”是反映物业服务单位服务水平和服务质量的重要指标，请据实填写有关内容，2022年未开展满意度调查，或尚未建立物业服务质量监督渠道的，填“无”。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（6）小区物业收缴费情况中，请据实选择“收费标准确定方式”，包括第三方评估、物业与业主协商、酬金制、招投标、沿用196/2662号文件（沿用《关于印发〈北京市普通居住小区物业管理服务收费暂行办法〉的通知》（京价（房）字〔1997〕第196号）或《关于发布〈北京市物业服务收费管理办法（试行）〉和〈北京市经济适用住房小区物业服务收费政府指导价收费标准〉的通告》（京发改〔2005〕2662号））等；2022年调整过物业服务价格的，请在“2022年调价情况”一列中，据实选择“调增”或“调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jc w:val="both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（7）“财务收支平衡情况”中，公共区域经营收益包括公共区域经营产生的广告、停车位、租赁摊位收益，以及利用小区公共配套设施产生的收益等。“缺口占比”填写收取物业费后存在的经费缺口比例，“公共区域经营收益弥补后缺口占比”填写收取物业费，以及用公共区域经营收益补充后，仍存在的经费缺口比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（8）小区业主自治情况中，“自治组织类型”包括业主大会、业主委员会、物业管理委员会，如有其他形式，请注明。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jc w:val="both"/>
        <w:textAlignment w:val="auto"/>
        <w:rPr>
          <w:rFonts w:hint="default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3.附件2为住宅区物业服务典型案例报送表，请选取1处（至多2处）在物业管理服务和社区治理方面有明显创新成果、有益经验和有效做法的住宅小区进行报送，可另附说明材料。表头中，“小区配套”指小区在绿化、养老、教育、医疗、商服等方面的配套设施建设情况，反映该小区硬件条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37FCC"/>
    <w:rsid w:val="027D34F6"/>
    <w:rsid w:val="0EFF75F3"/>
    <w:rsid w:val="3D5F4CE4"/>
    <w:rsid w:val="3FDEE542"/>
    <w:rsid w:val="59F71940"/>
    <w:rsid w:val="5FFF8C9F"/>
    <w:rsid w:val="6F7512D9"/>
    <w:rsid w:val="78B37FCC"/>
    <w:rsid w:val="F7FF09F9"/>
    <w:rsid w:val="FFEB73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1009</Words>
  <Characters>1061</Characters>
  <Lines>0</Lines>
  <Paragraphs>0</Paragraphs>
  <TotalTime>14.6666666666667</TotalTime>
  <ScaleCrop>false</ScaleCrop>
  <LinksUpToDate>false</LinksUpToDate>
  <CharactersWithSpaces>1061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2023-03-11T09:03:00Z</dcterms:created>
  <dc:creator>hanrui</dc:creator>
  <cp:lastModifiedBy>RAFA</cp:lastModifiedBy>
  <cp:lastPrinted>2023-03-22T18:54:25Z</cp:lastPrinted>
  <dcterms:modified xsi:type="dcterms:W3CDTF">2023-04-07T06:30:19Z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DA94D0240B3E4A6C86F44190A27F18F4_13</vt:lpwstr>
  </property>
</Properties>
</file>